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B3E91" w14:textId="77777777" w:rsidR="009947C1" w:rsidRDefault="00AC0095" w:rsidP="009947C1">
      <w:pPr>
        <w:pStyle w:val="NoSpacing"/>
        <w:jc w:val="center"/>
        <w:rPr>
          <w:b/>
          <w:bCs/>
        </w:rPr>
      </w:pPr>
      <w:r w:rsidRPr="009947C1">
        <w:rPr>
          <w:b/>
          <w:bCs/>
        </w:rPr>
        <w:t>VILLAGE OF WESTFIELD</w:t>
      </w:r>
    </w:p>
    <w:p w14:paraId="73EC95F8" w14:textId="77777777" w:rsidR="00CB418E" w:rsidRPr="009947C1" w:rsidRDefault="00CB418E" w:rsidP="009947C1">
      <w:pPr>
        <w:pStyle w:val="NoSpacing"/>
        <w:jc w:val="center"/>
        <w:rPr>
          <w:b/>
          <w:bCs/>
        </w:rPr>
      </w:pPr>
    </w:p>
    <w:p w14:paraId="7598EB7E" w14:textId="334E6090" w:rsidR="00AC0095" w:rsidRPr="009947C1" w:rsidRDefault="00AC0095" w:rsidP="009947C1">
      <w:pPr>
        <w:pStyle w:val="NoSpacing"/>
        <w:jc w:val="center"/>
        <w:rPr>
          <w:b/>
          <w:bCs/>
        </w:rPr>
      </w:pPr>
      <w:r w:rsidRPr="009947C1">
        <w:rPr>
          <w:b/>
          <w:bCs/>
        </w:rPr>
        <w:t>BOARD OF TRUSTEES</w:t>
      </w:r>
    </w:p>
    <w:p w14:paraId="7F0C81E7" w14:textId="7D2D83C7" w:rsidR="00AC0095" w:rsidRDefault="00AC0095" w:rsidP="00AC0095">
      <w:pPr>
        <w:jc w:val="center"/>
        <w:rPr>
          <w:b/>
          <w:bCs/>
        </w:rPr>
      </w:pPr>
      <w:r w:rsidRPr="00AC0095">
        <w:rPr>
          <w:b/>
          <w:bCs/>
        </w:rPr>
        <w:t>MINUTES</w:t>
      </w:r>
    </w:p>
    <w:p w14:paraId="6C24F500" w14:textId="3B301A41" w:rsidR="00AC0095" w:rsidRDefault="00AC0095" w:rsidP="00AC0095">
      <w:pPr>
        <w:pStyle w:val="NoSpacing"/>
      </w:pPr>
      <w:r w:rsidRPr="00AC0095">
        <w:rPr>
          <w:b/>
          <w:bCs/>
        </w:rPr>
        <w:t>DATE:</w:t>
      </w:r>
      <w:r w:rsidR="00CD3101">
        <w:rPr>
          <w:b/>
          <w:bCs/>
        </w:rPr>
        <w:t xml:space="preserve"> Tuesday, September 3rd</w:t>
      </w:r>
      <w:r>
        <w:t xml:space="preserve">, </w:t>
      </w:r>
      <w:proofErr w:type="gramStart"/>
      <w:r w:rsidR="00C76CE8">
        <w:t>2024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095">
        <w:rPr>
          <w:b/>
          <w:bCs/>
        </w:rPr>
        <w:t>TIME:</w:t>
      </w:r>
      <w:r>
        <w:t xml:space="preserve"> </w:t>
      </w:r>
      <w:r w:rsidR="00CD3101">
        <w:t>5</w:t>
      </w:r>
      <w:r>
        <w:t>:00 PM</w:t>
      </w:r>
    </w:p>
    <w:p w14:paraId="1397C818" w14:textId="52B893C5" w:rsidR="00AC0095" w:rsidRDefault="00AC0095" w:rsidP="00AC0095">
      <w:pPr>
        <w:pStyle w:val="NoSpacing"/>
      </w:pPr>
      <w:r w:rsidRPr="00AC0095">
        <w:rPr>
          <w:b/>
          <w:bCs/>
        </w:rPr>
        <w:t>PLACE:</w:t>
      </w:r>
      <w:r>
        <w:t xml:space="preserve"> North Room – Eason Hall</w:t>
      </w:r>
    </w:p>
    <w:p w14:paraId="073170C3" w14:textId="6ED706DF" w:rsidR="00AC0095" w:rsidRDefault="00AC0095" w:rsidP="00AC0095">
      <w:pPr>
        <w:pStyle w:val="NoSpacing"/>
      </w:pPr>
    </w:p>
    <w:p w14:paraId="1A4A3BE1" w14:textId="6DB5AA2E" w:rsidR="00AC0095" w:rsidRDefault="00AC0095" w:rsidP="00AC0095">
      <w:pPr>
        <w:pStyle w:val="NoSpacing"/>
      </w:pPr>
      <w:r w:rsidRPr="00AC0095">
        <w:rPr>
          <w:b/>
          <w:bCs/>
        </w:rPr>
        <w:t>Members Present:</w:t>
      </w:r>
      <w:r>
        <w:t xml:space="preserve"> Mayor Dennis Lutes, </w:t>
      </w:r>
      <w:r w:rsidR="00CD3101">
        <w:t xml:space="preserve">Trustee Josh Freifeld, </w:t>
      </w:r>
      <w:r>
        <w:t>Trustee Judy Einach,</w:t>
      </w:r>
      <w:r w:rsidR="00CD3101">
        <w:t xml:space="preserve"> Trustee Blake Maras,</w:t>
      </w:r>
      <w:r>
        <w:t xml:space="preserve"> Trustee Johanna Kelley</w:t>
      </w:r>
    </w:p>
    <w:p w14:paraId="417E0534" w14:textId="77777777" w:rsidR="00AC0095" w:rsidRDefault="00AC0095" w:rsidP="00AC0095">
      <w:pPr>
        <w:pStyle w:val="NoSpacing"/>
        <w:rPr>
          <w:b/>
          <w:bCs/>
        </w:rPr>
      </w:pPr>
    </w:p>
    <w:p w14:paraId="60D7EB19" w14:textId="7A66B335" w:rsidR="00AC0095" w:rsidRDefault="00AC0095" w:rsidP="00AC0095">
      <w:pPr>
        <w:pStyle w:val="NoSpacing"/>
      </w:pPr>
      <w:r w:rsidRPr="00AC0095">
        <w:rPr>
          <w:b/>
          <w:bCs/>
        </w:rPr>
        <w:t>Staff</w:t>
      </w:r>
      <w:r>
        <w:t xml:space="preserve">: </w:t>
      </w:r>
      <w:r w:rsidR="00CD3101">
        <w:t xml:space="preserve"> </w:t>
      </w:r>
      <w:r>
        <w:t>Vince Luce, Administrator &amp; Village Clerk</w:t>
      </w:r>
    </w:p>
    <w:p w14:paraId="79344A63" w14:textId="77777777" w:rsidR="00AC0095" w:rsidRDefault="00AC0095" w:rsidP="00AC0095">
      <w:pPr>
        <w:pStyle w:val="NoSpacing"/>
        <w:rPr>
          <w:b/>
          <w:bCs/>
        </w:rPr>
      </w:pPr>
    </w:p>
    <w:p w14:paraId="42927BFD" w14:textId="1AFA336E" w:rsidR="00AC0095" w:rsidRDefault="00AC0095" w:rsidP="00AC0095">
      <w:pPr>
        <w:pStyle w:val="NoSpacing"/>
      </w:pPr>
      <w:r w:rsidRPr="00AC0095">
        <w:rPr>
          <w:b/>
          <w:bCs/>
        </w:rPr>
        <w:t>VISITORS</w:t>
      </w:r>
      <w:r>
        <w:rPr>
          <w:b/>
          <w:bCs/>
        </w:rPr>
        <w:t xml:space="preserve">: </w:t>
      </w:r>
      <w:r w:rsidR="00CD3101">
        <w:rPr>
          <w:b/>
          <w:bCs/>
        </w:rPr>
        <w:t>None</w:t>
      </w:r>
    </w:p>
    <w:p w14:paraId="21F1D5FB" w14:textId="62235D35" w:rsidR="00D474D4" w:rsidRDefault="00D474D4" w:rsidP="00AC0095">
      <w:pPr>
        <w:pStyle w:val="NoSpacing"/>
      </w:pPr>
    </w:p>
    <w:p w14:paraId="38D54D96" w14:textId="7E26697C" w:rsidR="00CD3101" w:rsidRDefault="00CD3101" w:rsidP="00AC0095">
      <w:pPr>
        <w:pStyle w:val="NoSpacing"/>
      </w:pPr>
      <w:r w:rsidRPr="00CD3101">
        <w:rPr>
          <w:b/>
          <w:bCs/>
        </w:rPr>
        <w:t>RESOLUTION 22-2024 PRO HOUSING COMMUNTY</w:t>
      </w:r>
      <w:r>
        <w:t xml:space="preserve"> </w:t>
      </w:r>
    </w:p>
    <w:p w14:paraId="7BE37BA0" w14:textId="34A3AF2E" w:rsidR="00D474D4" w:rsidRDefault="00CD3101" w:rsidP="00AC0095">
      <w:pPr>
        <w:pStyle w:val="NoSpacing"/>
      </w:pPr>
      <w:r>
        <w:t>M</w:t>
      </w:r>
      <w:r w:rsidR="00D474D4">
        <w:t>ayor Lutes</w:t>
      </w:r>
      <w:r w:rsidR="00633B2F">
        <w:t xml:space="preserve"> opened the </w:t>
      </w:r>
      <w:r>
        <w:t>meeting at approximately</w:t>
      </w:r>
      <w:r w:rsidR="00633B2F">
        <w:t xml:space="preserve"> </w:t>
      </w:r>
      <w:r>
        <w:t>5:17</w:t>
      </w:r>
      <w:r w:rsidR="00633B2F">
        <w:t xml:space="preserve">pm and </w:t>
      </w:r>
      <w:r>
        <w:t xml:space="preserve">noted that the Board approved at their last regular meeting to apply for the NY Forward Grant which requires Westfield to become a Pro-Housing Community.  It was noted that at their August 19, </w:t>
      </w:r>
      <w:proofErr w:type="gramStart"/>
      <w:r>
        <w:t>2024</w:t>
      </w:r>
      <w:proofErr w:type="gramEnd"/>
      <w:r>
        <w:t xml:space="preserve"> meeting, WDC Executive Director Don McCord had outlined the timeline and procedures required to apply for this round of NY Forward Grant monies.  It was also noted that the Pro-Housing Community requirement was put in place by the state and </w:t>
      </w:r>
      <w:proofErr w:type="gramStart"/>
      <w:r>
        <w:t>in order to</w:t>
      </w:r>
      <w:proofErr w:type="gramEnd"/>
      <w:r>
        <w:t xml:space="preserve"> be eligible for several grant programs through the State of New York, communities are now required to apply for and become a pro-housing community</w:t>
      </w:r>
      <w:r w:rsidR="00552C0C">
        <w:t xml:space="preserve"> as a requirement.</w:t>
      </w:r>
    </w:p>
    <w:p w14:paraId="190C1002" w14:textId="00AE1995" w:rsidR="00552C0C" w:rsidRDefault="00552C0C" w:rsidP="00AC0095">
      <w:pPr>
        <w:pStyle w:val="NoSpacing"/>
      </w:pPr>
    </w:p>
    <w:p w14:paraId="702C16D4" w14:textId="7E5CE3CD" w:rsidR="006C555D" w:rsidRDefault="00552C0C" w:rsidP="00AC0095">
      <w:pPr>
        <w:pStyle w:val="NoSpacing"/>
      </w:pPr>
      <w:r>
        <w:t xml:space="preserve">There being no further questions, the board approved the following proposed resolution 22-2024 as presented on a motion </w:t>
      </w:r>
      <w:proofErr w:type="gramStart"/>
      <w:r>
        <w:t xml:space="preserve">by </w:t>
      </w:r>
      <w:r w:rsidR="006C555D">
        <w:t xml:space="preserve"> </w:t>
      </w:r>
      <w:r>
        <w:t>J.</w:t>
      </w:r>
      <w:proofErr w:type="gramEnd"/>
      <w:r>
        <w:t xml:space="preserve"> Freifeld </w:t>
      </w:r>
      <w:r w:rsidR="006C555D">
        <w:t>/J. Einach and unanimously approved.</w:t>
      </w:r>
    </w:p>
    <w:p w14:paraId="27A01313" w14:textId="77777777" w:rsidR="006C555D" w:rsidRDefault="006C555D" w:rsidP="00AC0095">
      <w:pPr>
        <w:pStyle w:val="NoSpacing"/>
      </w:pPr>
    </w:p>
    <w:p w14:paraId="723D5234" w14:textId="77777777" w:rsidR="00D755A8" w:rsidRDefault="00D755A8" w:rsidP="00D755A8">
      <w:pPr>
        <w:pStyle w:val="NoSpacing"/>
        <w:jc w:val="center"/>
      </w:pPr>
      <w:bookmarkStart w:id="0" w:name="_Hlk178578185"/>
      <w:r>
        <w:t>VILLAGE OF WESTFIELD</w:t>
      </w:r>
    </w:p>
    <w:p w14:paraId="358782E3" w14:textId="77777777" w:rsidR="00D755A8" w:rsidRDefault="00D755A8" w:rsidP="00D755A8">
      <w:pPr>
        <w:pStyle w:val="NoSpacing"/>
        <w:jc w:val="center"/>
      </w:pPr>
      <w:r>
        <w:t>RESOLUTION No: 22-2024</w:t>
      </w:r>
    </w:p>
    <w:p w14:paraId="2AB50AD2" w14:textId="77777777" w:rsidR="00D755A8" w:rsidRDefault="00D755A8" w:rsidP="00D755A8">
      <w:pPr>
        <w:pStyle w:val="NoSpacing"/>
        <w:jc w:val="center"/>
      </w:pPr>
      <w:r>
        <w:t>PRO-HOUSING COMMUNITY</w:t>
      </w:r>
      <w:bookmarkEnd w:id="0"/>
    </w:p>
    <w:p w14:paraId="7E6CD148" w14:textId="77777777" w:rsidR="00D755A8" w:rsidRDefault="00D755A8" w:rsidP="00D755A8">
      <w:pPr>
        <w:pStyle w:val="NoSpacing"/>
        <w:jc w:val="center"/>
      </w:pPr>
    </w:p>
    <w:p w14:paraId="2FA5C3CC" w14:textId="77777777" w:rsidR="00D755A8" w:rsidRDefault="00D755A8" w:rsidP="00D755A8">
      <w:pPr>
        <w:pStyle w:val="NoSpacing"/>
        <w:jc w:val="center"/>
      </w:pPr>
      <w:r>
        <w:t>Trustee J. Freifeld moved and Trustee J. Einach seconded that</w:t>
      </w:r>
    </w:p>
    <w:p w14:paraId="055540B4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proofErr w:type="gramStart"/>
      <w:r w:rsidRPr="008347C0">
        <w:rPr>
          <w:sz w:val="20"/>
          <w:szCs w:val="20"/>
        </w:rPr>
        <w:t>WHEREAS,</w:t>
      </w:r>
      <w:proofErr w:type="gramEnd"/>
      <w:r w:rsidRPr="008347C0">
        <w:rPr>
          <w:sz w:val="20"/>
          <w:szCs w:val="20"/>
        </w:rPr>
        <w:t xml:space="preserve"> the Village of Westfield (hereinafter “local government”) believes</w:t>
      </w:r>
    </w:p>
    <w:p w14:paraId="329FF9D5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>that the lack of housing for New York residents of all ages and income levels negatively impacts</w:t>
      </w:r>
    </w:p>
    <w:p w14:paraId="3E401BF3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 xml:space="preserve">the future of New York State’s economic growth and community </w:t>
      </w:r>
      <w:proofErr w:type="gramStart"/>
      <w:r w:rsidRPr="008347C0">
        <w:rPr>
          <w:sz w:val="20"/>
          <w:szCs w:val="20"/>
        </w:rPr>
        <w:t>well-being;</w:t>
      </w:r>
      <w:proofErr w:type="gramEnd"/>
    </w:p>
    <w:p w14:paraId="3C7CFC44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</w:p>
    <w:p w14:paraId="21E67F04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proofErr w:type="gramStart"/>
      <w:r w:rsidRPr="008347C0">
        <w:rPr>
          <w:sz w:val="20"/>
          <w:szCs w:val="20"/>
        </w:rPr>
        <w:t>WHEREAS,</w:t>
      </w:r>
      <w:proofErr w:type="gramEnd"/>
      <w:r w:rsidRPr="008347C0">
        <w:rPr>
          <w:sz w:val="20"/>
          <w:szCs w:val="20"/>
        </w:rPr>
        <w:t xml:space="preserve"> the housing crisis has negative effects at regional and local levels, we believe that</w:t>
      </w:r>
    </w:p>
    <w:p w14:paraId="22A38CC7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>every community must do their part to contribute to housing growth and benefit from the</w:t>
      </w:r>
    </w:p>
    <w:p w14:paraId="775C7D57" w14:textId="4CB5F703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 xml:space="preserve">positive impacts a healthy housing market brings to </w:t>
      </w:r>
      <w:proofErr w:type="gramStart"/>
      <w:r w:rsidR="0079682C" w:rsidRPr="008347C0">
        <w:rPr>
          <w:sz w:val="20"/>
          <w:szCs w:val="20"/>
        </w:rPr>
        <w:t>communities</w:t>
      </w:r>
      <w:r w:rsidR="0079682C">
        <w:rPr>
          <w:sz w:val="20"/>
          <w:szCs w:val="20"/>
        </w:rPr>
        <w:t>;</w:t>
      </w:r>
      <w:proofErr w:type="gramEnd"/>
    </w:p>
    <w:p w14:paraId="324164A6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</w:p>
    <w:p w14:paraId="11BEF977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proofErr w:type="gramStart"/>
      <w:r w:rsidRPr="008347C0">
        <w:rPr>
          <w:sz w:val="20"/>
          <w:szCs w:val="20"/>
        </w:rPr>
        <w:t>WHEREAS,</w:t>
      </w:r>
      <w:proofErr w:type="gramEnd"/>
      <w:r w:rsidRPr="008347C0">
        <w:rPr>
          <w:sz w:val="20"/>
          <w:szCs w:val="20"/>
        </w:rPr>
        <w:t xml:space="preserve"> we believe that supporting housing production of all kinds in our community will</w:t>
      </w:r>
    </w:p>
    <w:p w14:paraId="667516CE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>bring multiple benefits, including increasing housing access and choices for current and future</w:t>
      </w:r>
    </w:p>
    <w:p w14:paraId="34F8CF1A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>residents, providing integrated accessible housing options that meet the needs of people with</w:t>
      </w:r>
    </w:p>
    <w:p w14:paraId="482DF25C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 xml:space="preserve">sensory and mobility disabilities, bringing economic opportunities and vitality to </w:t>
      </w:r>
      <w:proofErr w:type="gramStart"/>
      <w:r w:rsidRPr="008347C0">
        <w:rPr>
          <w:sz w:val="20"/>
          <w:szCs w:val="20"/>
        </w:rPr>
        <w:t>our</w:t>
      </w:r>
      <w:proofErr w:type="gramEnd"/>
    </w:p>
    <w:p w14:paraId="25B78C10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>communities, and allowing workers at all levels to improve their quality of life through living</w:t>
      </w:r>
    </w:p>
    <w:p w14:paraId="0D851716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 xml:space="preserve">closer to their employment </w:t>
      </w:r>
      <w:proofErr w:type="gramStart"/>
      <w:r w:rsidRPr="008347C0">
        <w:rPr>
          <w:sz w:val="20"/>
          <w:szCs w:val="20"/>
        </w:rPr>
        <w:t>opportunities;</w:t>
      </w:r>
      <w:proofErr w:type="gramEnd"/>
    </w:p>
    <w:p w14:paraId="45D34F3B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</w:p>
    <w:p w14:paraId="569352AA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proofErr w:type="gramStart"/>
      <w:r w:rsidRPr="008347C0">
        <w:rPr>
          <w:sz w:val="20"/>
          <w:szCs w:val="20"/>
        </w:rPr>
        <w:t>WHEREAS,</w:t>
      </w:r>
      <w:proofErr w:type="gramEnd"/>
      <w:r w:rsidRPr="008347C0">
        <w:rPr>
          <w:sz w:val="20"/>
          <w:szCs w:val="20"/>
        </w:rPr>
        <w:t xml:space="preserve"> we believe that evidence showing that infill development that reduces sprawl and</w:t>
      </w:r>
    </w:p>
    <w:p w14:paraId="6CD7217E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>supports walkable communities has significant environmental and public health benefits; and</w:t>
      </w:r>
    </w:p>
    <w:p w14:paraId="142CC188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</w:p>
    <w:p w14:paraId="14094178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proofErr w:type="gramStart"/>
      <w:r w:rsidRPr="008347C0">
        <w:rPr>
          <w:sz w:val="20"/>
          <w:szCs w:val="20"/>
        </w:rPr>
        <w:t>WHEREAS,</w:t>
      </w:r>
      <w:proofErr w:type="gramEnd"/>
      <w:r w:rsidRPr="008347C0">
        <w:rPr>
          <w:sz w:val="20"/>
          <w:szCs w:val="20"/>
        </w:rPr>
        <w:t xml:space="preserve"> we believe that affirmatively furthering fair housing and reducing segregation is not</w:t>
      </w:r>
    </w:p>
    <w:p w14:paraId="422161E0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 xml:space="preserve">only required by law, but is essential for keeping our community strong and </w:t>
      </w:r>
      <w:proofErr w:type="gramStart"/>
      <w:r w:rsidRPr="008347C0">
        <w:rPr>
          <w:sz w:val="20"/>
          <w:szCs w:val="20"/>
        </w:rPr>
        <w:t>vibrant;</w:t>
      </w:r>
      <w:proofErr w:type="gramEnd"/>
    </w:p>
    <w:p w14:paraId="15B49A94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</w:p>
    <w:p w14:paraId="4C9AEF30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lastRenderedPageBreak/>
        <w:t>NOW, THEREFORE, IT IS HEREBY RESOLVED that the Village of</w:t>
      </w:r>
    </w:p>
    <w:p w14:paraId="6ED6F2F4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 xml:space="preserve">Westfield, </w:t>
      </w:r>
      <w:proofErr w:type="gramStart"/>
      <w:r w:rsidRPr="008347C0">
        <w:rPr>
          <w:sz w:val="20"/>
          <w:szCs w:val="20"/>
        </w:rPr>
        <w:t>in order to</w:t>
      </w:r>
      <w:proofErr w:type="gramEnd"/>
      <w:r w:rsidRPr="008347C0">
        <w:rPr>
          <w:sz w:val="20"/>
          <w:szCs w:val="20"/>
        </w:rPr>
        <w:t xml:space="preserve"> take positive steps to alleviate the housing crisis, adopts the Pro</w:t>
      </w:r>
    </w:p>
    <w:p w14:paraId="473377C5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>Housing Communities pledge, which will have us endeavor to take the following important</w:t>
      </w:r>
    </w:p>
    <w:p w14:paraId="1C86A798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>steps:</w:t>
      </w:r>
    </w:p>
    <w:p w14:paraId="74D842B0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>1. Streamlining permitting for multifamily housing, affordable housing, accessible housing,</w:t>
      </w:r>
    </w:p>
    <w:p w14:paraId="27835D4A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>accessory dwelling units, and supportive housing.</w:t>
      </w:r>
    </w:p>
    <w:p w14:paraId="759EA364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>2. Adopting policies that affirmatively further fair housing.</w:t>
      </w:r>
    </w:p>
    <w:p w14:paraId="61EF266B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>3. Incorporating regional housing needs into planning decisions.</w:t>
      </w:r>
    </w:p>
    <w:p w14:paraId="2EA1B0B6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>4. Increasing development capacity for residential uses.</w:t>
      </w:r>
    </w:p>
    <w:p w14:paraId="0C0507CB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>5. Enacting policies that encourage a broad range of housing development, including</w:t>
      </w:r>
    </w:p>
    <w:p w14:paraId="3808A9C6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>multifamily housing, affordable housing, accessible housing, accessory dwelling units,</w:t>
      </w:r>
    </w:p>
    <w:p w14:paraId="3F65DF28" w14:textId="77777777" w:rsidR="00D755A8" w:rsidRPr="008347C0" w:rsidRDefault="00D755A8" w:rsidP="00D755A8">
      <w:pPr>
        <w:pStyle w:val="NoSpacing"/>
        <w:jc w:val="center"/>
        <w:rPr>
          <w:sz w:val="20"/>
          <w:szCs w:val="20"/>
        </w:rPr>
      </w:pPr>
      <w:r w:rsidRPr="008347C0">
        <w:rPr>
          <w:sz w:val="20"/>
          <w:szCs w:val="20"/>
        </w:rPr>
        <w:t>and supportive housing.</w:t>
      </w:r>
    </w:p>
    <w:p w14:paraId="779FB757" w14:textId="77777777" w:rsidR="00C76CE8" w:rsidRDefault="00C76CE8" w:rsidP="00C76CE8">
      <w:pPr>
        <w:pStyle w:val="NoSpacing"/>
        <w:rPr>
          <w:b/>
          <w:bCs/>
        </w:rPr>
      </w:pPr>
    </w:p>
    <w:p w14:paraId="3E45CDD2" w14:textId="77777777" w:rsidR="00C76CE8" w:rsidRDefault="00C76CE8" w:rsidP="00C76CE8">
      <w:pPr>
        <w:pStyle w:val="NoSpacing"/>
        <w:rPr>
          <w:b/>
          <w:bCs/>
        </w:rPr>
      </w:pPr>
    </w:p>
    <w:p w14:paraId="622A8165" w14:textId="4F728687" w:rsidR="00C76CE8" w:rsidRDefault="00C76CE8" w:rsidP="00C76CE8">
      <w:pPr>
        <w:pStyle w:val="NoSpacing"/>
        <w:rPr>
          <w:b/>
          <w:bCs/>
        </w:rPr>
      </w:pPr>
      <w:r w:rsidRPr="00C76CE8">
        <w:rPr>
          <w:b/>
          <w:bCs/>
        </w:rPr>
        <w:t>SEQR RESOLUTION 23-2024 LEAD SERVICE REPLACEMENT PROGRAM</w:t>
      </w:r>
    </w:p>
    <w:p w14:paraId="70B1E94F" w14:textId="77777777" w:rsidR="00C76CE8" w:rsidRPr="00C76CE8" w:rsidRDefault="00C76CE8" w:rsidP="00C76CE8">
      <w:pPr>
        <w:pStyle w:val="NoSpacing"/>
        <w:rPr>
          <w:b/>
          <w:bCs/>
        </w:rPr>
      </w:pPr>
    </w:p>
    <w:p w14:paraId="0C586242" w14:textId="77777777" w:rsidR="00C76CE8" w:rsidRDefault="00C76CE8" w:rsidP="00C76CE8">
      <w:pPr>
        <w:pStyle w:val="NoSpacing"/>
        <w:jc w:val="center"/>
      </w:pPr>
      <w:r>
        <w:t>VILLAGE OF WESTFIELD</w:t>
      </w:r>
    </w:p>
    <w:p w14:paraId="35BE45C2" w14:textId="29EBB9D1" w:rsidR="00C76CE8" w:rsidRDefault="00C76CE8" w:rsidP="00C76CE8">
      <w:pPr>
        <w:pStyle w:val="NoSpacing"/>
        <w:jc w:val="center"/>
      </w:pPr>
      <w:r>
        <w:t>RESOLUTION No: 2</w:t>
      </w:r>
      <w:r>
        <w:t>3</w:t>
      </w:r>
      <w:r>
        <w:t>-2024</w:t>
      </w:r>
    </w:p>
    <w:p w14:paraId="10807F9A" w14:textId="54163208" w:rsidR="00C76CE8" w:rsidRDefault="00C76CE8" w:rsidP="00C76CE8">
      <w:pPr>
        <w:pStyle w:val="NoSpacing"/>
        <w:jc w:val="center"/>
      </w:pPr>
      <w:r>
        <w:t>LEAD SERVICE REPLACEMENT PROGRAM</w:t>
      </w:r>
    </w:p>
    <w:p w14:paraId="4E4C6310" w14:textId="77777777" w:rsidR="00C76CE8" w:rsidRDefault="00C76CE8" w:rsidP="00C76CE8">
      <w:pPr>
        <w:pStyle w:val="NoSpacing"/>
        <w:jc w:val="center"/>
      </w:pPr>
    </w:p>
    <w:p w14:paraId="3FF24BA5" w14:textId="77777777" w:rsidR="00C76CE8" w:rsidRPr="00C76CE8" w:rsidRDefault="00C76CE8" w:rsidP="00C76CE8">
      <w:pPr>
        <w:jc w:val="center"/>
        <w:rPr>
          <w:bCs/>
          <w:sz w:val="20"/>
          <w:szCs w:val="20"/>
        </w:rPr>
      </w:pPr>
      <w:r w:rsidRPr="00C76CE8">
        <w:rPr>
          <w:bCs/>
          <w:sz w:val="20"/>
          <w:szCs w:val="20"/>
        </w:rPr>
        <w:t>WHEREAS, the Village has received a Lead Service Line Funding Award through the Federal Fiscal Year 2023 Bipartisan Infrastructure Law Lead Service Line Replacement (BIL-LSLR) funding the Drinking Water State Revolving Fund (DWSRF) to establish an inventory of water service lines throughout the village service area; and</w:t>
      </w:r>
    </w:p>
    <w:p w14:paraId="14061973" w14:textId="77777777" w:rsidR="00C76CE8" w:rsidRPr="00C76CE8" w:rsidRDefault="00C76CE8" w:rsidP="00C76CE8">
      <w:pPr>
        <w:jc w:val="center"/>
        <w:rPr>
          <w:bCs/>
          <w:sz w:val="20"/>
          <w:szCs w:val="20"/>
        </w:rPr>
      </w:pPr>
      <w:proofErr w:type="gramStart"/>
      <w:r w:rsidRPr="00C76CE8">
        <w:rPr>
          <w:bCs/>
          <w:sz w:val="20"/>
          <w:szCs w:val="20"/>
        </w:rPr>
        <w:t>WHEREAS,</w:t>
      </w:r>
      <w:proofErr w:type="gramEnd"/>
      <w:r w:rsidRPr="00C76CE8">
        <w:rPr>
          <w:bCs/>
          <w:sz w:val="20"/>
          <w:szCs w:val="20"/>
        </w:rPr>
        <w:t xml:space="preserve"> it is anticipated that any disturbance to complete physical below grade service identification will be confined to the area of the existing curb boxes and service lines to identify water service materials; and</w:t>
      </w:r>
    </w:p>
    <w:p w14:paraId="45A3AF50" w14:textId="77777777" w:rsidR="00C76CE8" w:rsidRPr="00C76CE8" w:rsidRDefault="00C76CE8" w:rsidP="00C76CE8">
      <w:pPr>
        <w:spacing w:after="120"/>
        <w:jc w:val="center"/>
        <w:rPr>
          <w:bCs/>
          <w:sz w:val="20"/>
          <w:szCs w:val="20"/>
        </w:rPr>
      </w:pPr>
      <w:r w:rsidRPr="00C76CE8">
        <w:rPr>
          <w:bCs/>
          <w:sz w:val="20"/>
          <w:szCs w:val="20"/>
        </w:rPr>
        <w:t>NOW, THEREFORE, BE IT RESOLVED THAT, the Department of Health (NYSDOH) identifies all lead service line projects as Type II SEQR Actions and in concurrence with NYSDOH findings MRB recommends the Action to be a Type II Action under Section 617.5 (c) of the State Environmental Quality Review (SEQR) Regulations; and</w:t>
      </w:r>
    </w:p>
    <w:p w14:paraId="33896914" w14:textId="77777777" w:rsidR="00C76CE8" w:rsidRPr="00C76CE8" w:rsidRDefault="00C76CE8" w:rsidP="00C76CE8">
      <w:pPr>
        <w:spacing w:after="120"/>
        <w:jc w:val="center"/>
        <w:rPr>
          <w:bCs/>
          <w:sz w:val="20"/>
          <w:szCs w:val="20"/>
        </w:rPr>
      </w:pPr>
      <w:r w:rsidRPr="00C76CE8">
        <w:rPr>
          <w:bCs/>
          <w:sz w:val="20"/>
          <w:szCs w:val="20"/>
        </w:rPr>
        <w:t>BE IT FURTHER RESOLVED THAT, Type II Actions are not subject to further review under Part 617 of the SEQR Regulations; and</w:t>
      </w:r>
    </w:p>
    <w:p w14:paraId="3990F603" w14:textId="77777777" w:rsidR="00C76CE8" w:rsidRPr="00C76CE8" w:rsidRDefault="00C76CE8" w:rsidP="00C76CE8">
      <w:pPr>
        <w:spacing w:after="120"/>
        <w:jc w:val="center"/>
        <w:rPr>
          <w:bCs/>
          <w:sz w:val="20"/>
          <w:szCs w:val="20"/>
        </w:rPr>
      </w:pPr>
      <w:r w:rsidRPr="00C76CE8">
        <w:rPr>
          <w:bCs/>
          <w:sz w:val="20"/>
          <w:szCs w:val="20"/>
        </w:rPr>
        <w:t xml:space="preserve">BE IT FINALLY RESOLVED </w:t>
      </w:r>
      <w:r w:rsidRPr="00C76CE8">
        <w:rPr>
          <w:bCs/>
          <w:caps/>
          <w:sz w:val="20"/>
          <w:szCs w:val="20"/>
        </w:rPr>
        <w:t>that</w:t>
      </w:r>
      <w:r w:rsidRPr="00C76CE8">
        <w:rPr>
          <w:bCs/>
          <w:sz w:val="20"/>
          <w:szCs w:val="20"/>
        </w:rPr>
        <w:t>, the Village Board in making this classification has satisfied the procedural requirements under SEQR and directs this Resolution to be placed in the File on this Action.</w:t>
      </w:r>
    </w:p>
    <w:p w14:paraId="093AB174" w14:textId="77777777" w:rsidR="00C76CE8" w:rsidRPr="00C76CE8" w:rsidRDefault="00C76CE8" w:rsidP="00C76CE8">
      <w:pPr>
        <w:spacing w:after="120"/>
        <w:jc w:val="center"/>
        <w:rPr>
          <w:bCs/>
          <w:sz w:val="20"/>
          <w:szCs w:val="20"/>
        </w:rPr>
      </w:pPr>
      <w:r w:rsidRPr="00C76CE8">
        <w:rPr>
          <w:bCs/>
          <w:sz w:val="20"/>
          <w:szCs w:val="20"/>
        </w:rPr>
        <w:t xml:space="preserve">The within Resolution was moved by Village Board Trustee Josh Freifeld, seconded by Village Board Trustee Judy </w:t>
      </w:r>
      <w:proofErr w:type="spellStart"/>
      <w:r w:rsidRPr="00C76CE8">
        <w:rPr>
          <w:bCs/>
          <w:sz w:val="20"/>
          <w:szCs w:val="20"/>
        </w:rPr>
        <w:t>Einach</w:t>
      </w:r>
      <w:proofErr w:type="spellEnd"/>
      <w:r w:rsidRPr="00C76CE8">
        <w:rPr>
          <w:bCs/>
          <w:sz w:val="20"/>
          <w:szCs w:val="20"/>
        </w:rPr>
        <w:t>, was passed unanimously voted upon by the Board members, as follows:</w:t>
      </w:r>
    </w:p>
    <w:p w14:paraId="2BB652E2" w14:textId="77777777" w:rsidR="00C76CE8" w:rsidRPr="00C76CE8" w:rsidRDefault="00C76CE8" w:rsidP="00C76CE8">
      <w:pPr>
        <w:pStyle w:val="NoSpacing"/>
        <w:jc w:val="center"/>
        <w:rPr>
          <w:sz w:val="20"/>
          <w:szCs w:val="20"/>
        </w:rPr>
      </w:pPr>
      <w:r w:rsidRPr="00C76CE8">
        <w:rPr>
          <w:sz w:val="20"/>
          <w:szCs w:val="20"/>
        </w:rPr>
        <w:t xml:space="preserve">Dennis Lutes, Mayor - </w:t>
      </w:r>
      <w:r w:rsidRPr="00C76CE8">
        <w:rPr>
          <w:sz w:val="20"/>
          <w:szCs w:val="20"/>
        </w:rPr>
        <w:tab/>
        <w:t>Aye</w:t>
      </w:r>
    </w:p>
    <w:p w14:paraId="0C96743B" w14:textId="77777777" w:rsidR="00C76CE8" w:rsidRPr="00C76CE8" w:rsidRDefault="00C76CE8" w:rsidP="00C76CE8">
      <w:pPr>
        <w:pStyle w:val="NoSpacing"/>
        <w:jc w:val="center"/>
        <w:rPr>
          <w:sz w:val="20"/>
          <w:szCs w:val="20"/>
        </w:rPr>
      </w:pPr>
      <w:r w:rsidRPr="00C76CE8">
        <w:rPr>
          <w:sz w:val="20"/>
          <w:szCs w:val="20"/>
        </w:rPr>
        <w:t xml:space="preserve">Judith </w:t>
      </w:r>
      <w:proofErr w:type="spellStart"/>
      <w:r w:rsidRPr="00C76CE8">
        <w:rPr>
          <w:sz w:val="20"/>
          <w:szCs w:val="20"/>
        </w:rPr>
        <w:t>Einach</w:t>
      </w:r>
      <w:proofErr w:type="spellEnd"/>
      <w:r w:rsidRPr="00C76CE8">
        <w:rPr>
          <w:sz w:val="20"/>
          <w:szCs w:val="20"/>
        </w:rPr>
        <w:t xml:space="preserve">, Trustee - </w:t>
      </w:r>
      <w:r w:rsidRPr="00C76CE8">
        <w:rPr>
          <w:sz w:val="20"/>
          <w:szCs w:val="20"/>
        </w:rPr>
        <w:tab/>
        <w:t>Aye</w:t>
      </w:r>
    </w:p>
    <w:p w14:paraId="02F5C3E5" w14:textId="77777777" w:rsidR="00C76CE8" w:rsidRPr="00C76CE8" w:rsidRDefault="00C76CE8" w:rsidP="00C76CE8">
      <w:pPr>
        <w:pStyle w:val="NoSpacing"/>
        <w:jc w:val="center"/>
        <w:rPr>
          <w:sz w:val="20"/>
          <w:szCs w:val="20"/>
        </w:rPr>
      </w:pPr>
      <w:r w:rsidRPr="00C76CE8">
        <w:rPr>
          <w:sz w:val="20"/>
          <w:szCs w:val="20"/>
        </w:rPr>
        <w:t xml:space="preserve">Johanna Kelley, Trustee - </w:t>
      </w:r>
      <w:r w:rsidRPr="00C76CE8">
        <w:rPr>
          <w:sz w:val="20"/>
          <w:szCs w:val="20"/>
        </w:rPr>
        <w:tab/>
        <w:t>Aye</w:t>
      </w:r>
    </w:p>
    <w:p w14:paraId="2968CE1B" w14:textId="77777777" w:rsidR="00C76CE8" w:rsidRPr="00C76CE8" w:rsidRDefault="00C76CE8" w:rsidP="00C76CE8">
      <w:pPr>
        <w:pStyle w:val="NoSpacing"/>
        <w:jc w:val="center"/>
        <w:rPr>
          <w:sz w:val="20"/>
          <w:szCs w:val="20"/>
        </w:rPr>
      </w:pPr>
      <w:r w:rsidRPr="00C76CE8">
        <w:rPr>
          <w:sz w:val="20"/>
          <w:szCs w:val="20"/>
        </w:rPr>
        <w:t xml:space="preserve">Blake Maras, Trustee – </w:t>
      </w:r>
      <w:r w:rsidRPr="00C76CE8">
        <w:rPr>
          <w:sz w:val="20"/>
          <w:szCs w:val="20"/>
        </w:rPr>
        <w:tab/>
        <w:t>Aye</w:t>
      </w:r>
    </w:p>
    <w:p w14:paraId="34B7B834" w14:textId="77777777" w:rsidR="00C76CE8" w:rsidRPr="00C76CE8" w:rsidRDefault="00C76CE8" w:rsidP="00C76CE8">
      <w:pPr>
        <w:pStyle w:val="NoSpacing"/>
        <w:jc w:val="center"/>
        <w:rPr>
          <w:sz w:val="20"/>
          <w:szCs w:val="20"/>
        </w:rPr>
      </w:pPr>
      <w:r w:rsidRPr="00C76CE8">
        <w:rPr>
          <w:sz w:val="20"/>
          <w:szCs w:val="20"/>
        </w:rPr>
        <w:t xml:space="preserve">Josh Freifeld, Trustee - </w:t>
      </w:r>
      <w:r w:rsidRPr="00C76CE8">
        <w:rPr>
          <w:sz w:val="20"/>
          <w:szCs w:val="20"/>
        </w:rPr>
        <w:tab/>
        <w:t>Aye</w:t>
      </w:r>
    </w:p>
    <w:p w14:paraId="075F4081" w14:textId="77777777" w:rsidR="00C76CE8" w:rsidRPr="00C76CE8" w:rsidRDefault="00C76CE8" w:rsidP="00AC0095">
      <w:pPr>
        <w:pStyle w:val="NoSpacing"/>
        <w:rPr>
          <w:bCs/>
        </w:rPr>
      </w:pPr>
    </w:p>
    <w:p w14:paraId="280F307F" w14:textId="6FD76E6E" w:rsidR="009947C1" w:rsidRPr="00C76CE8" w:rsidRDefault="00552C0C" w:rsidP="00AC0095">
      <w:pPr>
        <w:pStyle w:val="NoSpacing"/>
        <w:rPr>
          <w:bCs/>
        </w:rPr>
      </w:pPr>
      <w:r w:rsidRPr="00C76CE8">
        <w:rPr>
          <w:bCs/>
        </w:rPr>
        <w:t>There being no further issues and items to discuss, the Board adjourned the meeting on a motion by J. Einach/ J. Freifeld.</w:t>
      </w:r>
    </w:p>
    <w:p w14:paraId="598E6088" w14:textId="77777777" w:rsidR="00552C0C" w:rsidRPr="00C76CE8" w:rsidRDefault="00552C0C" w:rsidP="00AC0095">
      <w:pPr>
        <w:pStyle w:val="NoSpacing"/>
        <w:rPr>
          <w:bCs/>
        </w:rPr>
      </w:pPr>
    </w:p>
    <w:p w14:paraId="74C58E3A" w14:textId="2FE95AA1" w:rsidR="009947C1" w:rsidRPr="00C76CE8" w:rsidRDefault="009947C1" w:rsidP="00AC0095">
      <w:pPr>
        <w:pStyle w:val="NoSpacing"/>
        <w:rPr>
          <w:bCs/>
        </w:rPr>
      </w:pPr>
      <w:r w:rsidRPr="00C76CE8">
        <w:rPr>
          <w:bCs/>
        </w:rPr>
        <w:t>Respectfully submitted by,</w:t>
      </w:r>
    </w:p>
    <w:p w14:paraId="77CE204B" w14:textId="77777777" w:rsidR="00CB418E" w:rsidRPr="00C76CE8" w:rsidRDefault="00CB418E" w:rsidP="00AC0095">
      <w:pPr>
        <w:pStyle w:val="NoSpacing"/>
        <w:rPr>
          <w:bCs/>
        </w:rPr>
      </w:pPr>
    </w:p>
    <w:p w14:paraId="2940A43C" w14:textId="77777777" w:rsidR="00CB418E" w:rsidRPr="00C76CE8" w:rsidRDefault="00CB418E" w:rsidP="00AC0095">
      <w:pPr>
        <w:pStyle w:val="NoSpacing"/>
        <w:rPr>
          <w:bCs/>
        </w:rPr>
      </w:pPr>
    </w:p>
    <w:p w14:paraId="34F76650" w14:textId="3AE451AE" w:rsidR="00CB418E" w:rsidRPr="00C76CE8" w:rsidRDefault="00CB418E" w:rsidP="00AC0095">
      <w:pPr>
        <w:pStyle w:val="NoSpacing"/>
        <w:rPr>
          <w:bCs/>
        </w:rPr>
      </w:pPr>
      <w:r w:rsidRPr="00C76CE8">
        <w:rPr>
          <w:bCs/>
        </w:rPr>
        <w:t>Vincent Luce, Village Clerk</w:t>
      </w:r>
    </w:p>
    <w:sectPr w:rsidR="00CB418E" w:rsidRPr="00C76CE8" w:rsidSect="00C61C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A2297" w14:textId="77777777" w:rsidR="00A566F2" w:rsidRDefault="00A566F2" w:rsidP="009947C1">
      <w:pPr>
        <w:spacing w:after="0" w:line="240" w:lineRule="auto"/>
      </w:pPr>
      <w:r>
        <w:separator/>
      </w:r>
    </w:p>
  </w:endnote>
  <w:endnote w:type="continuationSeparator" w:id="0">
    <w:p w14:paraId="7889F24C" w14:textId="77777777" w:rsidR="00A566F2" w:rsidRDefault="00A566F2" w:rsidP="0099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702A" w14:textId="77777777" w:rsidR="006169AB" w:rsidRDefault="00616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F003D" w14:textId="77777777" w:rsidR="006169AB" w:rsidRDefault="00616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DF409" w14:textId="77777777" w:rsidR="006169AB" w:rsidRDefault="00616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2909A" w14:textId="77777777" w:rsidR="00A566F2" w:rsidRDefault="00A566F2" w:rsidP="009947C1">
      <w:pPr>
        <w:spacing w:after="0" w:line="240" w:lineRule="auto"/>
      </w:pPr>
      <w:r>
        <w:separator/>
      </w:r>
    </w:p>
  </w:footnote>
  <w:footnote w:type="continuationSeparator" w:id="0">
    <w:p w14:paraId="7FD024F5" w14:textId="77777777" w:rsidR="00A566F2" w:rsidRDefault="00A566F2" w:rsidP="0099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907DB" w14:textId="77777777" w:rsidR="006169AB" w:rsidRDefault="00616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968D5" w14:textId="313C0127" w:rsidR="006169AB" w:rsidRDefault="00616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7961F" w14:textId="77777777" w:rsidR="006169AB" w:rsidRDefault="006169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95"/>
    <w:rsid w:val="00035C77"/>
    <w:rsid w:val="00036ED3"/>
    <w:rsid w:val="00103C0B"/>
    <w:rsid w:val="001D0CF6"/>
    <w:rsid w:val="00210D3D"/>
    <w:rsid w:val="003303A5"/>
    <w:rsid w:val="00466BD9"/>
    <w:rsid w:val="0049131A"/>
    <w:rsid w:val="00552C0C"/>
    <w:rsid w:val="005C4B0B"/>
    <w:rsid w:val="006169AB"/>
    <w:rsid w:val="006249AF"/>
    <w:rsid w:val="00633B2F"/>
    <w:rsid w:val="006A6F99"/>
    <w:rsid w:val="006C555D"/>
    <w:rsid w:val="0079682C"/>
    <w:rsid w:val="007B529F"/>
    <w:rsid w:val="00961ADF"/>
    <w:rsid w:val="00970055"/>
    <w:rsid w:val="009947C1"/>
    <w:rsid w:val="009A3F82"/>
    <w:rsid w:val="00A566F2"/>
    <w:rsid w:val="00AC0095"/>
    <w:rsid w:val="00B61692"/>
    <w:rsid w:val="00BF4DD8"/>
    <w:rsid w:val="00C17DC5"/>
    <w:rsid w:val="00C31AE8"/>
    <w:rsid w:val="00C61C8B"/>
    <w:rsid w:val="00C76CE8"/>
    <w:rsid w:val="00CB418E"/>
    <w:rsid w:val="00CD3101"/>
    <w:rsid w:val="00D474D4"/>
    <w:rsid w:val="00D65386"/>
    <w:rsid w:val="00D755A8"/>
    <w:rsid w:val="00E46672"/>
    <w:rsid w:val="00EB0423"/>
    <w:rsid w:val="00F313AB"/>
    <w:rsid w:val="00FD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4A9CD"/>
  <w15:chartTrackingRefBased/>
  <w15:docId w15:val="{0DC2BBFA-B971-4F14-A51E-E6645B65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0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0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0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0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0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0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0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0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0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09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00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4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C1"/>
  </w:style>
  <w:style w:type="paragraph" w:styleId="Footer">
    <w:name w:val="footer"/>
    <w:basedOn w:val="Normal"/>
    <w:link w:val="FooterChar"/>
    <w:uiPriority w:val="99"/>
    <w:unhideWhenUsed/>
    <w:rsid w:val="00994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Office 3 Eason</dc:creator>
  <cp:keywords/>
  <dc:description/>
  <cp:lastModifiedBy>Becky Jackson</cp:lastModifiedBy>
  <cp:revision>3</cp:revision>
  <cp:lastPrinted>2024-09-04T17:51:00Z</cp:lastPrinted>
  <dcterms:created xsi:type="dcterms:W3CDTF">2024-09-30T12:36:00Z</dcterms:created>
  <dcterms:modified xsi:type="dcterms:W3CDTF">2024-09-30T12:44:00Z</dcterms:modified>
</cp:coreProperties>
</file>